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val="en-US" w:eastAsia="zh-CN"/>
        </w:rPr>
        <w:t>基层政权建设文化广场修建</w:t>
      </w:r>
    </w:p>
    <w:p>
      <w:pPr>
        <w:spacing w:line="700" w:lineRule="exact"/>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 xml:space="preserve">     实施单位（公章）：奇台县</w:t>
      </w:r>
      <w:r>
        <w:rPr>
          <w:rFonts w:hint="eastAsia" w:hAnsi="宋体" w:eastAsia="仿宋_GB2312" w:cs="宋体"/>
          <w:kern w:val="0"/>
          <w:sz w:val="36"/>
          <w:szCs w:val="36"/>
          <w:lang w:val="en-US" w:eastAsia="zh-CN"/>
        </w:rPr>
        <w:t>东湾镇人民政府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w:t>
      </w:r>
      <w:r>
        <w:rPr>
          <w:rFonts w:hint="eastAsia" w:hAnsi="宋体" w:eastAsia="仿宋_GB2312" w:cs="宋体"/>
          <w:kern w:val="0"/>
          <w:sz w:val="36"/>
          <w:szCs w:val="36"/>
          <w:lang w:eastAsia="zh-CN"/>
        </w:rPr>
        <w:t>财政局</w:t>
      </w:r>
    </w:p>
    <w:p>
      <w:pPr>
        <w:spacing w:line="700" w:lineRule="exact"/>
        <w:ind w:firstLine="849" w:firstLineChars="236"/>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郑君</w:t>
      </w:r>
    </w:p>
    <w:p>
      <w:pPr>
        <w:spacing w:line="700" w:lineRule="exact"/>
        <w:ind w:firstLine="849" w:firstLineChars="236"/>
        <w:jc w:val="left"/>
        <w:rPr>
          <w:rFonts w:hAnsi="宋体" w:eastAsia="仿宋_GB2312" w:cs="宋体"/>
          <w:kern w:val="0"/>
          <w:sz w:val="36"/>
          <w:szCs w:val="36"/>
          <w:highlight w:val="yellow"/>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年 </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 </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widowControl w:val="0"/>
        <w:wordWrap/>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（1）执行本级人民代表大会的决议和上级国家行政机关的决定和命令，发布决定和命令。</w:t>
      </w:r>
    </w:p>
    <w:p>
      <w:pPr>
        <w:widowControl w:val="0"/>
        <w:wordWrap/>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（2）执行本行政区域内的经济和社会发展计划、预算，管理本行政区域内的文化工作；</w:t>
      </w:r>
    </w:p>
    <w:p>
      <w:pPr>
        <w:widowControl w:val="0"/>
        <w:wordWrap/>
        <w:adjustRightInd/>
        <w:ind w:firstLine="640" w:firstLineChars="200"/>
        <w:textAlignment w:val="auto"/>
        <w:rPr>
          <w:rFonts w:hint="eastAsia" w:ascii="仿宋_GB2312" w:hAnsi="仿宋_GB2312" w:eastAsia="仿宋_GB2312" w:cs="仿宋_GB2312"/>
        </w:rPr>
      </w:pPr>
      <w:r>
        <w:rPr>
          <w:rFonts w:hint="eastAsia" w:ascii="仿宋" w:hAnsi="仿宋" w:eastAsia="仿宋" w:cs="仿宋"/>
          <w:sz w:val="32"/>
          <w:szCs w:val="32"/>
        </w:rPr>
        <w:t>（3）</w:t>
      </w:r>
      <w:r>
        <w:rPr>
          <w:rFonts w:hint="eastAsia" w:ascii="仿宋_GB2312" w:hAnsi="仿宋_GB2312" w:eastAsia="仿宋_GB2312" w:cs="仿宋_GB2312"/>
          <w:sz w:val="32"/>
          <w:szCs w:val="32"/>
        </w:rPr>
        <w:t>把热心于群众文化事业又具有专业知识和开拓创新精神的人才吸纳到一起,形成一支集宣传、教育、娱乐、科普为一体的综合文化队伍,提高对基层文化的服务水平,有效缓解文化干部的压力,帮助他们更好的开展基础文化工作。充分调动群众的积极性,让群众唱自己喜欢的、熟悉的戏,自主参与文化活动,让群众成为文化活动的主角</w:t>
      </w:r>
    </w:p>
    <w:p>
      <w:pPr>
        <w:widowControl w:val="0"/>
        <w:wordWrap/>
        <w:adjustRightInd/>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（4）保护各种经济组织的合法权益；</w:t>
      </w:r>
    </w:p>
    <w:p>
      <w:pPr>
        <w:widowControl w:val="0"/>
        <w:wordWrap/>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（5）保障少数民族的权利和尊重少数民族的风俗习惯；</w:t>
      </w:r>
    </w:p>
    <w:p>
      <w:pPr>
        <w:widowControl w:val="0"/>
        <w:wordWrap/>
        <w:adjustRightIn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（6）保障宪法和法律赋予妇女的男女平等、同工同酬和婚姻自由等各项权利；</w:t>
      </w:r>
    </w:p>
    <w:p>
      <w:pPr>
        <w:widowControl w:val="0"/>
        <w:wordWrap/>
        <w:adjustRightInd/>
        <w:snapToGrid w:val="0"/>
        <w:spacing w:line="520" w:lineRule="exact"/>
        <w:ind w:firstLine="640" w:firstLineChars="200"/>
        <w:textAlignment w:val="auto"/>
        <w:rPr>
          <w:rFonts w:hint="eastAsia" w:ascii="仿宋_GB2312" w:hAnsi="仿宋" w:eastAsia="仿宋_GB2312"/>
          <w:sz w:val="32"/>
          <w:szCs w:val="32"/>
        </w:rPr>
      </w:pPr>
      <w:r>
        <w:rPr>
          <w:rFonts w:hint="eastAsia" w:ascii="仿宋" w:hAnsi="仿宋" w:eastAsia="仿宋" w:cs="仿宋"/>
          <w:sz w:val="32"/>
          <w:szCs w:val="32"/>
        </w:rPr>
        <w:t>（7）办理上级人民政府交办的其他事项。</w:t>
      </w:r>
    </w:p>
    <w:p>
      <w:pPr>
        <w:spacing w:line="540" w:lineRule="exact"/>
        <w:ind w:firstLine="567"/>
        <w:rPr>
          <w:rStyle w:val="17"/>
          <w:rFonts w:ascii="楷体" w:hAnsi="楷体" w:eastAsia="楷体"/>
          <w:spacing w:val="-4"/>
          <w:sz w:val="32"/>
          <w:szCs w:val="32"/>
          <w:highlight w:val="yellow"/>
        </w:rPr>
      </w:pP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widowControl w:val="0"/>
        <w:wordWrap/>
        <w:adjustRightInd/>
        <w:snapToGrid/>
        <w:ind w:firstLine="624" w:firstLineChars="200"/>
        <w:jc w:val="left"/>
        <w:textAlignment w:val="auto"/>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基层政权机构建设文化广场修建资金主要用于2017年东湾镇基层政权机构建设文化广场修建项目，基层政权是党和国家执政的根基。</w:t>
      </w:r>
      <w:bookmarkStart w:id="0" w:name="_GoBack"/>
      <w:bookmarkEnd w:id="0"/>
    </w:p>
    <w:p>
      <w:pPr>
        <w:widowControl w:val="0"/>
        <w:wordWrap/>
        <w:adjustRightInd/>
        <w:snapToGrid/>
        <w:ind w:firstLine="624" w:firstLineChars="200"/>
        <w:jc w:val="left"/>
        <w:textAlignment w:val="auto"/>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乡镇政府作为最基层的政权组织，是政府职能下沉到农村网络体系的中枢，既承担行政职能，又承担经济和社会管理职能，连接着政府和乡村、农民，对上承接县政府在农村的各项工作，中间负责与各职能部门的协调，对下承担村委会、社区的公共服务和区域社会秩序的维护，在城市建设及管理中发挥着重要的作用。</w:t>
      </w:r>
    </w:p>
    <w:p>
      <w:pPr>
        <w:widowControl w:val="0"/>
        <w:wordWrap/>
        <w:adjustRightInd/>
        <w:snapToGrid/>
        <w:ind w:firstLine="624" w:firstLineChars="200"/>
        <w:jc w:val="left"/>
        <w:textAlignment w:val="auto"/>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lang w:val="en-US" w:eastAsia="zh-CN"/>
        </w:rPr>
        <w:t>加强基层政权建设，不仅是维护社会和谐稳定的需要，也是有效丰富了百姓文化生活。通过加强基层政权建设，提升了政府的执政能力，是政府简政放权、放管结合、亲民便民、启动双引擎的一个抓手，不仅能节约行政成本，通过街改，还能释放全社会的创新活力。</w:t>
      </w:r>
    </w:p>
    <w:p>
      <w:pPr>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lang w:val="en-US" w:eastAsia="zh-CN"/>
        </w:rPr>
        <w:t>基层政权机构建设文化广场修建项目资金用于基层政权建设，总投资15万元，其中本级财政拨款安排15万元。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lang w:val="en-US" w:eastAsia="zh-CN"/>
        </w:rPr>
        <w:t>该项目资金15万元，全部用于该项目。</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hint="eastAsia" w:ascii="仿宋" w:hAnsi="仿宋" w:eastAsia="仿宋"/>
          <w:b w:val="0"/>
          <w:spacing w:val="-4"/>
          <w:sz w:val="32"/>
          <w:szCs w:val="32"/>
          <w:highlight w:val="yellow"/>
        </w:rPr>
      </w:pPr>
      <w:r>
        <w:rPr>
          <w:rStyle w:val="17"/>
          <w:rFonts w:hint="eastAsia" w:ascii="仿宋" w:hAnsi="仿宋" w:eastAsia="仿宋" w:cs="Times New Roman"/>
          <w:b w:val="0"/>
          <w:spacing w:val="-4"/>
          <w:sz w:val="32"/>
          <w:szCs w:val="32"/>
          <w:highlight w:val="none"/>
          <w:lang w:val="en-US" w:eastAsia="zh-CN"/>
        </w:rPr>
        <w:t>《基层政权机构建设文化广场修建》和东湾镇财务制度</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624" w:firstLineChars="200"/>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2017年</w:t>
      </w:r>
      <w:r>
        <w:rPr>
          <w:rStyle w:val="17"/>
          <w:rFonts w:hint="eastAsia" w:ascii="仿宋" w:hAnsi="仿宋" w:eastAsia="仿宋" w:cs="Times New Roman"/>
          <w:b w:val="0"/>
          <w:spacing w:val="-4"/>
          <w:sz w:val="32"/>
          <w:szCs w:val="32"/>
          <w:highlight w:val="none"/>
          <w:lang w:val="en-US" w:eastAsia="zh-CN"/>
        </w:rPr>
        <w:t>基层政权机构建设文化广场修建</w:t>
      </w:r>
      <w:r>
        <w:rPr>
          <w:rStyle w:val="17"/>
          <w:rFonts w:hint="eastAsia" w:ascii="仿宋" w:hAnsi="仿宋" w:eastAsia="仿宋"/>
          <w:b w:val="0"/>
          <w:spacing w:val="-4"/>
          <w:sz w:val="32"/>
          <w:szCs w:val="32"/>
          <w:highlight w:val="none"/>
          <w:lang w:val="en-US" w:eastAsia="zh-CN"/>
        </w:rPr>
        <w:t>按预定方案确定的时间、方法和程序完成了文化广场修建提高了群众满意度的目标。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24" w:firstLineChars="200"/>
        <w:rPr>
          <w:rStyle w:val="17"/>
          <w:rFonts w:ascii="仿宋" w:hAnsi="仿宋" w:eastAsia="仿宋"/>
          <w:b w:val="0"/>
          <w:spacing w:val="-4"/>
          <w:sz w:val="32"/>
          <w:szCs w:val="32"/>
          <w:highlight w:val="yellow"/>
          <w:lang w:val="en-US"/>
        </w:rPr>
      </w:pPr>
      <w:r>
        <w:rPr>
          <w:rStyle w:val="17"/>
          <w:rFonts w:hint="eastAsia" w:ascii="仿宋" w:hAnsi="仿宋" w:eastAsia="仿宋" w:cs="Times New Roman"/>
          <w:b w:val="0"/>
          <w:spacing w:val="-4"/>
          <w:sz w:val="32"/>
          <w:szCs w:val="32"/>
          <w:highlight w:val="none"/>
          <w:lang w:val="en-US" w:eastAsia="zh-CN"/>
        </w:rPr>
        <w:t>根据《基层政权机构建设文化广场修建》和东湾镇财务制度的相关要求进行监督管理，资金的拨付使用报账制，即有发票、合同、清单、验收报告等，并由廉政效能监督委员会人员签字后方可支付。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2017年</w:t>
      </w:r>
      <w:r>
        <w:rPr>
          <w:rStyle w:val="17"/>
          <w:rFonts w:hint="eastAsia" w:ascii="仿宋" w:hAnsi="仿宋" w:eastAsia="仿宋" w:cs="Times New Roman"/>
          <w:b w:val="0"/>
          <w:spacing w:val="-4"/>
          <w:sz w:val="32"/>
          <w:szCs w:val="32"/>
          <w:highlight w:val="none"/>
          <w:lang w:val="en-US" w:eastAsia="zh-CN"/>
        </w:rPr>
        <w:t>基层政权机构建设文化广场修建</w:t>
      </w:r>
      <w:r>
        <w:rPr>
          <w:rStyle w:val="17"/>
          <w:rFonts w:hint="eastAsia" w:ascii="仿宋" w:hAnsi="仿宋" w:eastAsia="仿宋"/>
          <w:b w:val="0"/>
          <w:spacing w:val="-4"/>
          <w:sz w:val="32"/>
          <w:szCs w:val="32"/>
          <w:highlight w:val="none"/>
          <w:lang w:val="en-US" w:eastAsia="zh-CN"/>
        </w:rPr>
        <w:t>资金及时足额到位，产出数量、质量符合标准规定。资金支出社会效益、经济效益、可持续效益显著提高和改善。</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hint="eastAsia" w:ascii="仿宋" w:hAnsi="仿宋" w:eastAsia="仿宋"/>
          <w:spacing w:val="-4"/>
          <w:sz w:val="32"/>
          <w:szCs w:val="32"/>
          <w:highlight w:val="none"/>
          <w:lang w:val="en-US" w:eastAsia="zh-CN"/>
        </w:rPr>
      </w:pPr>
      <w:r>
        <w:rPr>
          <w:rFonts w:hint="eastAsia" w:ascii="仿宋" w:hAnsi="仿宋" w:eastAsia="仿宋"/>
          <w:spacing w:val="-4"/>
          <w:sz w:val="32"/>
          <w:szCs w:val="32"/>
          <w:highlight w:val="none"/>
          <w:lang w:val="en-US" w:eastAsia="zh-CN"/>
        </w:rPr>
        <w:t>项目按时完工。</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主要经验：项目资金严格按照有关规定使用，并且由严格的财务审批程序，做到了资金专款专用。</w:t>
      </w:r>
    </w:p>
    <w:p>
      <w:pPr>
        <w:spacing w:line="540" w:lineRule="exact"/>
        <w:ind w:firstLine="564" w:firstLineChars="181"/>
        <w:rPr>
          <w:rFonts w:hint="eastAsia" w:ascii="仿宋_GB2312" w:eastAsia="仿宋_GB2312"/>
          <w:spacing w:val="-4"/>
          <w:sz w:val="32"/>
          <w:szCs w:val="32"/>
          <w:highlight w:val="none"/>
          <w:lang w:val="en-US" w:eastAsia="zh-CN"/>
        </w:rPr>
      </w:pPr>
      <w:r>
        <w:rPr>
          <w:rFonts w:hint="eastAsia" w:ascii="仿宋_GB2312" w:eastAsia="仿宋_GB2312"/>
          <w:spacing w:val="-4"/>
          <w:sz w:val="32"/>
          <w:szCs w:val="32"/>
          <w:highlight w:val="none"/>
          <w:lang w:val="en-US" w:eastAsia="zh-CN"/>
        </w:rPr>
        <w:t>存在问题：资金量难以预算精确。受市场、人工等因素的影响，资金难以以预算精确，往往出现支大于收的现象。</w:t>
      </w:r>
    </w:p>
    <w:p>
      <w:pPr>
        <w:pStyle w:val="33"/>
        <w:widowControl/>
        <w:pBdr>
          <w:top w:val="none" w:color="auto" w:sz="0" w:space="0"/>
          <w:left w:val="none" w:color="auto" w:sz="0" w:space="0"/>
          <w:bottom w:val="none" w:color="auto" w:sz="0" w:space="0"/>
          <w:right w:val="none" w:color="auto" w:sz="0" w:space="0"/>
        </w:pBdr>
        <w:spacing w:before="0" w:beforeAutospacing="0" w:after="0" w:afterAutospacing="0" w:line="22" w:lineRule="atLeast"/>
        <w:ind w:left="0" w:right="0" w:firstLine="420"/>
        <w:jc w:val="both"/>
        <w:rPr>
          <w:rFonts w:hint="default" w:ascii="仿宋_GB2312" w:hAnsi="Times New Roman" w:eastAsia="仿宋_GB2312" w:cs="Times New Roman"/>
          <w:spacing w:val="-4"/>
          <w:sz w:val="32"/>
          <w:szCs w:val="32"/>
          <w:highlight w:val="none"/>
          <w:lang w:val="en-US" w:eastAsia="zh-CN"/>
        </w:rPr>
      </w:pPr>
      <w:r>
        <w:rPr>
          <w:rFonts w:hint="eastAsia" w:ascii="仿宋_GB2312" w:eastAsia="仿宋_GB2312"/>
          <w:spacing w:val="-4"/>
          <w:sz w:val="32"/>
          <w:szCs w:val="32"/>
          <w:highlight w:val="none"/>
          <w:lang w:val="en-US" w:eastAsia="zh-CN"/>
        </w:rPr>
        <w:t>建议：一、建议政府加大对基层政权建设的投入；</w:t>
      </w:r>
      <w:r>
        <w:rPr>
          <w:rFonts w:hint="eastAsia" w:ascii="仿宋_GB2312" w:hAnsi="Times New Roman" w:eastAsia="仿宋_GB2312" w:cs="Times New Roman"/>
          <w:spacing w:val="-4"/>
          <w:sz w:val="32"/>
          <w:szCs w:val="32"/>
          <w:highlight w:val="none"/>
          <w:lang w:val="en-US" w:eastAsia="zh-CN"/>
        </w:rPr>
        <w:t>二是</w:t>
      </w:r>
      <w:r>
        <w:rPr>
          <w:rFonts w:hint="default" w:ascii="仿宋_GB2312" w:hAnsi="Times New Roman" w:eastAsia="仿宋_GB2312" w:cs="Times New Roman"/>
          <w:spacing w:val="-4"/>
          <w:sz w:val="32"/>
          <w:szCs w:val="32"/>
          <w:highlight w:val="none"/>
          <w:lang w:val="en-US" w:eastAsia="zh-CN"/>
        </w:rPr>
        <w:t>确保专项经费及时足额到</w:t>
      </w:r>
      <w:r>
        <w:rPr>
          <w:rFonts w:hint="eastAsia" w:ascii="仿宋_GB2312" w:hAnsi="Times New Roman" w:eastAsia="仿宋_GB2312" w:cs="Times New Roman"/>
          <w:spacing w:val="-4"/>
          <w:sz w:val="32"/>
          <w:szCs w:val="32"/>
          <w:highlight w:val="none"/>
          <w:lang w:val="en-US" w:eastAsia="zh-CN"/>
        </w:rPr>
        <w:t>位；三是</w:t>
      </w:r>
      <w:r>
        <w:rPr>
          <w:rFonts w:hint="default" w:ascii="仿宋_GB2312" w:hAnsi="Times New Roman" w:eastAsia="仿宋_GB2312" w:cs="Times New Roman"/>
          <w:spacing w:val="-4"/>
          <w:sz w:val="32"/>
          <w:szCs w:val="32"/>
          <w:highlight w:val="none"/>
          <w:lang w:val="en-US" w:eastAsia="zh-CN"/>
        </w:rPr>
        <w:t>进一步规范资金管理</w:t>
      </w:r>
      <w:r>
        <w:rPr>
          <w:rFonts w:hint="eastAsia" w:ascii="仿宋_GB2312" w:hAnsi="Times New Roman" w:eastAsia="仿宋_GB2312" w:cs="Times New Roman"/>
          <w:spacing w:val="-4"/>
          <w:sz w:val="32"/>
          <w:szCs w:val="32"/>
          <w:highlight w:val="none"/>
          <w:lang w:val="en-US" w:eastAsia="zh-CN"/>
        </w:rPr>
        <w:t>；四是</w:t>
      </w:r>
      <w:r>
        <w:rPr>
          <w:rFonts w:hint="default" w:ascii="仿宋_GB2312" w:hAnsi="Times New Roman" w:eastAsia="仿宋_GB2312" w:cs="Times New Roman"/>
          <w:spacing w:val="-4"/>
          <w:sz w:val="32"/>
          <w:szCs w:val="32"/>
          <w:highlight w:val="none"/>
          <w:lang w:val="en-US" w:eastAsia="zh-CN"/>
        </w:rPr>
        <w:t>开展经常性督促检查，加强</w:t>
      </w:r>
      <w:r>
        <w:rPr>
          <w:rFonts w:hint="eastAsia" w:ascii="仿宋_GB2312" w:hAnsi="Times New Roman" w:eastAsia="仿宋_GB2312" w:cs="Times New Roman"/>
          <w:spacing w:val="-4"/>
          <w:sz w:val="32"/>
          <w:szCs w:val="32"/>
          <w:highlight w:val="none"/>
          <w:lang w:val="en-US" w:eastAsia="zh-CN"/>
        </w:rPr>
        <w:t>基层政权</w:t>
      </w:r>
      <w:r>
        <w:rPr>
          <w:rFonts w:hint="default" w:ascii="仿宋_GB2312" w:hAnsi="Times New Roman" w:eastAsia="仿宋_GB2312" w:cs="Times New Roman"/>
          <w:spacing w:val="-4"/>
          <w:sz w:val="32"/>
          <w:szCs w:val="32"/>
          <w:highlight w:val="none"/>
          <w:lang w:val="en-US" w:eastAsia="zh-CN"/>
        </w:rPr>
        <w:t>建设和管理</w:t>
      </w:r>
      <w:r>
        <w:rPr>
          <w:rFonts w:hint="eastAsia" w:ascii="仿宋_GB2312" w:hAnsi="Times New Roman" w:eastAsia="仿宋_GB2312" w:cs="Times New Roman"/>
          <w:spacing w:val="-4"/>
          <w:sz w:val="32"/>
          <w:szCs w:val="32"/>
          <w:highlight w:val="none"/>
          <w:lang w:val="en-US" w:eastAsia="zh-CN"/>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 w:hAnsi="仿宋" w:eastAsia="仿宋" w:cs="仿宋"/>
          <w:b w:val="0"/>
          <w:bCs/>
          <w:spacing w:val="-4"/>
          <w:sz w:val="32"/>
          <w:szCs w:val="32"/>
          <w:lang w:val="en-US" w:eastAsia="zh-CN"/>
        </w:rPr>
      </w:pPr>
      <w:r>
        <w:rPr>
          <w:rFonts w:hint="eastAsia" w:ascii="仿宋" w:hAnsi="仿宋" w:eastAsia="仿宋" w:cs="仿宋"/>
          <w:b w:val="0"/>
          <w:bCs/>
          <w:spacing w:val="-4"/>
          <w:sz w:val="32"/>
          <w:szCs w:val="32"/>
          <w:lang w:val="en-US"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Fonts w:ascii="仿宋_GB2312" w:eastAsia="仿宋_GB2312"/>
          <w:spacing w:val="-4"/>
          <w:sz w:val="32"/>
          <w:szCs w:val="32"/>
          <w:highlight w:val="none"/>
        </w:rPr>
      </w:pPr>
      <w:r>
        <w:rPr>
          <w:rFonts w:hint="eastAsia" w:ascii="仿宋_GB2312" w:eastAsia="仿宋_GB2312"/>
          <w:spacing w:val="-4"/>
          <w:sz w:val="32"/>
          <w:szCs w:val="32"/>
          <w:highlight w:val="none"/>
          <w:lang w:val="en-US" w:eastAsia="zh-CN"/>
        </w:rPr>
        <w:t>项目的进展及执行比较顺利，按计划完成；补助资金按时、足额到位，保障了项目的正常开展；资金的使用也严格按照有关规定使用，在资金使用过程中没有出现贪污、截留挪用等情况。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5"/>
        <w:tblW w:w="90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vAlign w:val="center"/>
          </w:tcPr>
          <w:p>
            <w:pPr>
              <w:widowControl/>
              <w:jc w:val="center"/>
              <w:rPr>
                <w:rFonts w:hint="eastAsia" w:ascii="宋体" w:hAnsi="宋体" w:cs="宋体"/>
                <w:b/>
                <w:bCs/>
                <w:kern w:val="0"/>
                <w:sz w:val="32"/>
                <w:szCs w:val="32"/>
                <w:lang w:eastAsia="zh-CN"/>
              </w:rPr>
            </w:pPr>
          </w:p>
          <w:p>
            <w:pPr>
              <w:widowControl/>
              <w:jc w:val="center"/>
              <w:rPr>
                <w:rFonts w:hint="eastAsia" w:ascii="宋体" w:hAnsi="宋体" w:cs="宋体"/>
                <w:b/>
                <w:bCs/>
                <w:kern w:val="0"/>
                <w:sz w:val="32"/>
                <w:szCs w:val="32"/>
                <w:lang w:eastAsia="zh-CN"/>
              </w:rPr>
            </w:pPr>
          </w:p>
          <w:p>
            <w:pPr>
              <w:widowControl/>
              <w:jc w:val="center"/>
              <w:rPr>
                <w:rFonts w:hint="eastAsia" w:ascii="宋体" w:hAnsi="宋体" w:cs="宋体"/>
                <w:b/>
                <w:bCs/>
                <w:kern w:val="0"/>
                <w:sz w:val="32"/>
                <w:szCs w:val="32"/>
                <w:lang w:eastAsia="zh-CN"/>
              </w:rPr>
            </w:pPr>
          </w:p>
          <w:p>
            <w:pPr>
              <w:widowControl/>
              <w:jc w:val="center"/>
              <w:rPr>
                <w:rFonts w:hint="eastAsia" w:ascii="宋体" w:hAnsi="宋体" w:cs="宋体"/>
                <w:b/>
                <w:bCs/>
                <w:kern w:val="0"/>
                <w:sz w:val="32"/>
                <w:szCs w:val="32"/>
                <w:lang w:eastAsia="zh-CN"/>
              </w:rPr>
            </w:pPr>
          </w:p>
          <w:p>
            <w:pPr>
              <w:widowControl/>
              <w:jc w:val="center"/>
              <w:rPr>
                <w:rFonts w:ascii="宋体" w:hAnsi="宋体" w:cs="宋体"/>
                <w:b/>
                <w:bCs/>
                <w:kern w:val="0"/>
                <w:sz w:val="32"/>
                <w:szCs w:val="32"/>
              </w:rPr>
            </w:pPr>
            <w:r>
              <w:rPr>
                <w:rFonts w:hint="eastAsia" w:ascii="宋体" w:hAnsi="宋体" w:cs="宋体"/>
                <w:b/>
                <w:bCs/>
                <w:kern w:val="0"/>
                <w:sz w:val="32"/>
                <w:szCs w:val="32"/>
                <w:lang w:eastAsia="zh-CN"/>
              </w:rPr>
              <w:t>奇台县</w:t>
            </w:r>
            <w:r>
              <w:rPr>
                <w:rFonts w:hint="eastAsia" w:ascii="宋体" w:hAnsi="宋体" w:cs="宋体"/>
                <w:b/>
                <w:bCs/>
                <w:kern w:val="0"/>
                <w:sz w:val="32"/>
                <w:szCs w:val="32"/>
              </w:rPr>
              <w:t>财政项目支出绩效自评表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rFonts w:hint="eastAsia" w:ascii="宋体" w:hAnsi="宋体" w:cs="宋体"/>
                <w:kern w:val="0"/>
                <w:sz w:val="24"/>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20" w:type="dxa"/>
            <w:tcBorders>
              <w:top w:val="nil"/>
              <w:left w:val="nil"/>
              <w:bottom w:val="nil"/>
              <w:right w:val="nil"/>
            </w:tcBorders>
            <w:vAlign w:val="center"/>
          </w:tcPr>
          <w:p>
            <w:pPr>
              <w:widowControl/>
              <w:jc w:val="center"/>
              <w:rPr>
                <w:rFonts w:ascii="宋体" w:hAnsi="宋体" w:cs="宋体"/>
                <w:kern w:val="0"/>
                <w:sz w:val="24"/>
              </w:rPr>
            </w:pPr>
          </w:p>
        </w:tc>
        <w:tc>
          <w:tcPr>
            <w:tcW w:w="1140" w:type="dxa"/>
            <w:tcBorders>
              <w:top w:val="nil"/>
              <w:left w:val="nil"/>
              <w:bottom w:val="nil"/>
              <w:right w:val="nil"/>
            </w:tcBorders>
            <w:vAlign w:val="center"/>
          </w:tcPr>
          <w:p>
            <w:pPr>
              <w:widowControl/>
              <w:jc w:val="center"/>
              <w:rPr>
                <w:rFonts w:ascii="宋体" w:hAnsi="宋体" w:cs="宋体"/>
                <w:kern w:val="0"/>
                <w:sz w:val="24"/>
              </w:rPr>
            </w:pPr>
          </w:p>
        </w:tc>
        <w:tc>
          <w:tcPr>
            <w:tcW w:w="1360" w:type="dxa"/>
            <w:tcBorders>
              <w:top w:val="nil"/>
              <w:left w:val="nil"/>
              <w:bottom w:val="nil"/>
              <w:right w:val="nil"/>
            </w:tcBorders>
            <w:vAlign w:val="center"/>
          </w:tcPr>
          <w:p>
            <w:pPr>
              <w:widowControl/>
              <w:jc w:val="center"/>
              <w:rPr>
                <w:rFonts w:ascii="宋体" w:hAnsi="宋体" w:cs="宋体"/>
                <w:kern w:val="0"/>
                <w:sz w:val="24"/>
              </w:rPr>
            </w:pPr>
          </w:p>
        </w:tc>
        <w:tc>
          <w:tcPr>
            <w:tcW w:w="1080" w:type="dxa"/>
            <w:tcBorders>
              <w:top w:val="nil"/>
              <w:left w:val="nil"/>
              <w:bottom w:val="nil"/>
              <w:right w:val="nil"/>
            </w:tcBorders>
            <w:vAlign w:val="center"/>
          </w:tcPr>
          <w:p>
            <w:pPr>
              <w:widowControl/>
              <w:jc w:val="center"/>
              <w:rPr>
                <w:rFonts w:ascii="宋体" w:hAnsi="宋体" w:cs="宋体"/>
                <w:kern w:val="0"/>
                <w:sz w:val="24"/>
              </w:rPr>
            </w:pPr>
          </w:p>
        </w:tc>
        <w:tc>
          <w:tcPr>
            <w:tcW w:w="880" w:type="dxa"/>
            <w:tcBorders>
              <w:top w:val="nil"/>
              <w:left w:val="nil"/>
              <w:bottom w:val="nil"/>
              <w:right w:val="nil"/>
            </w:tcBorders>
            <w:vAlign w:val="center"/>
          </w:tcPr>
          <w:p>
            <w:pPr>
              <w:widowControl/>
              <w:jc w:val="center"/>
              <w:rPr>
                <w:rFonts w:ascii="宋体" w:hAnsi="宋体" w:cs="宋体"/>
                <w:kern w:val="0"/>
                <w:sz w:val="24"/>
              </w:rPr>
            </w:pPr>
          </w:p>
        </w:tc>
        <w:tc>
          <w:tcPr>
            <w:tcW w:w="2060" w:type="dxa"/>
            <w:tcBorders>
              <w:top w:val="nil"/>
              <w:left w:val="nil"/>
              <w:bottom w:val="nil"/>
              <w:right w:val="nil"/>
            </w:tcBorders>
            <w:vAlign w:val="center"/>
          </w:tcPr>
          <w:p>
            <w:pPr>
              <w:widowControl/>
              <w:jc w:val="center"/>
              <w:rPr>
                <w:rFonts w:ascii="宋体" w:hAnsi="宋体" w:cs="宋体"/>
                <w:kern w:val="0"/>
                <w:sz w:val="24"/>
              </w:rPr>
            </w:pPr>
          </w:p>
        </w:tc>
        <w:tc>
          <w:tcPr>
            <w:tcW w:w="1780" w:type="dxa"/>
            <w:tcBorders>
              <w:top w:val="nil"/>
              <w:left w:val="nil"/>
              <w:bottom w:val="nil"/>
              <w:right w:val="nil"/>
            </w:tcBorders>
            <w:vAlign w:val="center"/>
          </w:tcPr>
          <w:p>
            <w:pPr>
              <w:widowControl/>
              <w:jc w:val="center"/>
              <w:rPr>
                <w:rFonts w:ascii="宋体" w:hAnsi="宋体" w:cs="宋体"/>
                <w:kern w:val="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0"/>
                <w:szCs w:val="20"/>
              </w:rPr>
            </w:pPr>
            <w:r>
              <w:rPr>
                <w:rStyle w:val="17"/>
                <w:rFonts w:hint="eastAsia" w:ascii="仿宋" w:hAnsi="仿宋" w:eastAsia="仿宋" w:cs="Times New Roman"/>
                <w:b w:val="0"/>
                <w:spacing w:val="-4"/>
                <w:sz w:val="20"/>
                <w:szCs w:val="20"/>
                <w:highlight w:val="none"/>
                <w:lang w:val="en-US" w:eastAsia="zh-CN"/>
              </w:rPr>
              <w:t>基层政权机构建设文化广场修建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奇台县东湾镇人民政府</w:t>
            </w:r>
            <w:r>
              <w:rPr>
                <w:rFonts w:hint="eastAsia" w:ascii="宋体" w:hAnsi="宋体" w:cs="宋体"/>
                <w:kern w:val="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15</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15</w:t>
            </w:r>
            <w:r>
              <w:rPr>
                <w:rFonts w:hint="eastAsia" w:ascii="宋体" w:hAnsi="宋体" w:cs="宋体"/>
                <w:kern w:val="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15</w:t>
            </w:r>
          </w:p>
        </w:tc>
        <w:tc>
          <w:tcPr>
            <w:tcW w:w="2060" w:type="dxa"/>
            <w:tcBorders>
              <w:top w:val="nil"/>
              <w:left w:val="nil"/>
              <w:bottom w:val="nil"/>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15</w:t>
            </w:r>
            <w:r>
              <w:rPr>
                <w:rFonts w:hint="eastAsia" w:ascii="宋体" w:hAnsi="宋体" w:cs="宋体"/>
                <w:kern w:val="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vAlign w:val="top"/>
          </w:tcPr>
          <w:p>
            <w:pPr>
              <w:widowControl/>
              <w:jc w:val="left"/>
              <w:rPr>
                <w:rFonts w:ascii="宋体" w:hAnsi="宋体" w:cs="宋体"/>
                <w:kern w:val="0"/>
                <w:sz w:val="20"/>
                <w:szCs w:val="20"/>
              </w:rPr>
            </w:pPr>
            <w:r>
              <w:rPr>
                <w:rFonts w:hint="eastAsia" w:ascii="宋体" w:hAnsi="宋体" w:cs="宋体"/>
                <w:kern w:val="0"/>
                <w:sz w:val="20"/>
                <w:szCs w:val="20"/>
                <w:lang w:eastAsia="zh-CN"/>
              </w:rPr>
              <w:t>项目能够按时、保质保量、不超预算、按照初期规划完成建设。</w:t>
            </w:r>
          </w:p>
        </w:tc>
        <w:tc>
          <w:tcPr>
            <w:tcW w:w="3840" w:type="dxa"/>
            <w:gridSpan w:val="2"/>
            <w:tcBorders>
              <w:top w:val="single" w:color="auto" w:sz="4" w:space="0"/>
              <w:left w:val="nil"/>
              <w:bottom w:val="single" w:color="auto" w:sz="4" w:space="0"/>
              <w:right w:val="single" w:color="000000" w:sz="4" w:space="0"/>
            </w:tcBorders>
            <w:vAlign w:val="top"/>
          </w:tcPr>
          <w:p>
            <w:pPr>
              <w:widowControl/>
              <w:jc w:val="left"/>
              <w:rPr>
                <w:rFonts w:ascii="宋体" w:hAnsi="宋体" w:cs="宋体"/>
                <w:kern w:val="0"/>
                <w:sz w:val="20"/>
                <w:szCs w:val="20"/>
              </w:rPr>
            </w:pPr>
            <w:r>
              <w:rPr>
                <w:rFonts w:hint="eastAsia" w:ascii="宋体" w:hAnsi="宋体" w:cs="宋体"/>
                <w:kern w:val="0"/>
                <w:sz w:val="20"/>
                <w:szCs w:val="20"/>
                <w:lang w:eastAsia="zh-CN"/>
              </w:rPr>
              <w:t>项目能够按时、保质保量、不超预算、按照初期规划完成建设。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土地平整</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500平米</w:t>
            </w:r>
          </w:p>
        </w:tc>
        <w:tc>
          <w:tcPr>
            <w:tcW w:w="178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500平米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种草</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200平米</w:t>
            </w:r>
          </w:p>
        </w:tc>
        <w:tc>
          <w:tcPr>
            <w:tcW w:w="178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200平米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座椅</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4</w:t>
            </w:r>
          </w:p>
        </w:tc>
        <w:tc>
          <w:tcPr>
            <w:tcW w:w="178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符合《昌吉州土地开发整理项目规划设计规范》</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1</w:t>
            </w:r>
            <w:r>
              <w:rPr>
                <w:rFonts w:hint="eastAsia" w:ascii="宋体" w:hAnsi="宋体" w:cs="宋体"/>
                <w:kern w:val="0"/>
                <w:sz w:val="20"/>
                <w:szCs w:val="20"/>
                <w:lang w:val="en-US" w:eastAsia="zh-CN"/>
              </w:rPr>
              <w:t>00%</w:t>
            </w:r>
          </w:p>
        </w:tc>
        <w:tc>
          <w:tcPr>
            <w:tcW w:w="178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1</w:t>
            </w:r>
            <w:r>
              <w:rPr>
                <w:rFonts w:hint="eastAsia" w:ascii="宋体" w:hAnsi="宋体" w:cs="宋体"/>
                <w:kern w:val="0"/>
                <w:sz w:val="20"/>
                <w:szCs w:val="20"/>
                <w:lang w:val="en-US" w:eastAsia="zh-CN"/>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vMerge w:val="restart"/>
            <w:tcBorders>
              <w:top w:val="single" w:color="auto" w:sz="4" w:space="0"/>
              <w:left w:val="nil"/>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项目工程验收合格率</w:t>
            </w:r>
          </w:p>
        </w:tc>
        <w:tc>
          <w:tcPr>
            <w:tcW w:w="2060" w:type="dxa"/>
            <w:vMerge w:val="restart"/>
            <w:tcBorders>
              <w:top w:val="nil"/>
              <w:left w:val="nil"/>
              <w:right w:val="single" w:color="auto" w:sz="4" w:space="0"/>
            </w:tcBorders>
            <w:vAlign w:val="center"/>
          </w:tcPr>
          <w:p>
            <w:pPr>
              <w:widowControl/>
              <w:jc w:val="center"/>
              <w:rPr>
                <w:rFonts w:hint="eastAsia" w:ascii="宋体" w:hAnsi="宋体" w:cs="宋体"/>
                <w:kern w:val="0"/>
                <w:sz w:val="20"/>
                <w:szCs w:val="20"/>
                <w:lang w:eastAsia="zh-CN"/>
              </w:rPr>
            </w:pPr>
            <w:r>
              <w:rPr>
                <w:rFonts w:hint="eastAsia" w:ascii="宋体" w:hAnsi="宋体" w:cs="宋体"/>
                <w:kern w:val="0"/>
                <w:sz w:val="20"/>
                <w:szCs w:val="20"/>
                <w:lang w:eastAsia="zh-CN"/>
              </w:rPr>
              <w:t>1</w:t>
            </w:r>
            <w:r>
              <w:rPr>
                <w:rFonts w:hint="eastAsia" w:ascii="宋体" w:hAnsi="宋体" w:cs="宋体"/>
                <w:kern w:val="0"/>
                <w:sz w:val="20"/>
                <w:szCs w:val="20"/>
                <w:lang w:val="en-US" w:eastAsia="zh-CN"/>
              </w:rPr>
              <w:t>00%</w:t>
            </w:r>
          </w:p>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1</w:t>
            </w:r>
            <w:r>
              <w:rPr>
                <w:rFonts w:hint="eastAsia" w:ascii="宋体" w:hAnsi="宋体" w:cs="宋体"/>
                <w:kern w:val="0"/>
                <w:sz w:val="20"/>
                <w:szCs w:val="20"/>
                <w:lang w:val="en-US" w:eastAsia="zh-CN"/>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vMerge w:val="continue"/>
            <w:tcBorders>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2060" w:type="dxa"/>
            <w:vMerge w:val="continue"/>
            <w:tcBorders>
              <w:left w:val="nil"/>
              <w:bottom w:val="single" w:color="auto" w:sz="4" w:space="0"/>
              <w:right w:val="single" w:color="auto" w:sz="4" w:space="0"/>
            </w:tcBorders>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开工时间</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2018年5月21日</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2018年5月21日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竣工时间</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2018年9月25日</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2018年9月25日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交付使用时间</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2018年9月26日</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2018年9月26日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土地平整</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&lt;50元/平米</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&lt;50元/平米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种草</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&lt;350元/平米</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&lt;200元/平米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座椅</w:t>
            </w:r>
          </w:p>
        </w:tc>
        <w:tc>
          <w:tcPr>
            <w:tcW w:w="206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&lt;200/个</w:t>
            </w:r>
          </w:p>
        </w:tc>
        <w:tc>
          <w:tcPr>
            <w:tcW w:w="1780" w:type="dxa"/>
            <w:tcBorders>
              <w:top w:val="nil"/>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&lt;200/个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受益群众户数</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2638户</w:t>
            </w:r>
          </w:p>
        </w:tc>
        <w:tc>
          <w:tcPr>
            <w:tcW w:w="178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2638户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left w:val="single" w:color="auto"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受益群众人数</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15680人</w:t>
            </w:r>
          </w:p>
        </w:tc>
        <w:tc>
          <w:tcPr>
            <w:tcW w:w="178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15680人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项目覆盖村落</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4个</w:t>
            </w:r>
          </w:p>
        </w:tc>
        <w:tc>
          <w:tcPr>
            <w:tcW w:w="178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4个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tcBorders>
              <w:top w:val="nil"/>
              <w:left w:val="single" w:color="auto" w:sz="4" w:space="0"/>
              <w:bottom w:val="single" w:color="000000"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0"/>
                <w:szCs w:val="20"/>
              </w:rPr>
            </w:pPr>
            <w:r>
              <w:rPr>
                <w:rFonts w:hint="eastAsia" w:ascii="宋体" w:hAnsi="宋体" w:cs="宋体"/>
                <w:kern w:val="0"/>
                <w:sz w:val="20"/>
                <w:szCs w:val="20"/>
                <w:lang w:eastAsia="zh-CN"/>
              </w:rPr>
              <w:t>项目区受益群众满意度</w:t>
            </w:r>
          </w:p>
        </w:tc>
        <w:tc>
          <w:tcPr>
            <w:tcW w:w="206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100%</w:t>
            </w:r>
          </w:p>
        </w:tc>
        <w:tc>
          <w:tcPr>
            <w:tcW w:w="1780" w:type="dxa"/>
            <w:tcBorders>
              <w:top w:val="nil"/>
              <w:left w:val="nil"/>
              <w:bottom w:val="single" w:color="auto" w:sz="4" w:space="0"/>
              <w:right w:val="single" w:color="auto" w:sz="4" w:space="0"/>
            </w:tcBorders>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100%</w:t>
            </w:r>
          </w:p>
        </w:tc>
      </w:tr>
    </w:tbl>
    <w:p>
      <w:pPr>
        <w:spacing w:line="540" w:lineRule="exact"/>
        <w:ind w:firstLine="567"/>
        <w:rPr>
          <w:rStyle w:val="17"/>
          <w:rFonts w:ascii="仿宋" w:hAnsi="仿宋" w:eastAsia="仿宋"/>
          <w:b w:val="0"/>
          <w:spacing w:val="-4"/>
          <w:sz w:val="32"/>
          <w:szCs w:val="32"/>
        </w:rPr>
      </w:pPr>
    </w:p>
    <w:sectPr>
      <w:footerReference r:id="rId5" w:type="default"/>
      <w:pgSz w:w="11906" w:h="16838"/>
      <w:pgMar w:top="1440" w:right="1558"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PAGE   \* MERGEFORMAT</w:instrText>
    </w:r>
    <w:r>
      <w:fldChar w:fldCharType="separate"/>
    </w:r>
    <w:r>
      <w:t>1</w:t>
    </w:r>
    <w:r>
      <w:fldChar w:fldCharType="end"/>
    </w:r>
  </w:p>
  <w:p>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xMmU2NGI5NWIyMWVkODBmODUyZmIwZDMzNTk5NDYifQ=="/>
  </w:docVars>
  <w:rsids>
    <w:rsidRoot w:val="00000000"/>
    <w:rsid w:val="0B5F2DDE"/>
    <w:rsid w:val="0BF90AB1"/>
    <w:rsid w:val="6B7561C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0"/>
    <w:qFormat/>
    <w:uiPriority w:val="0"/>
    <w:pPr>
      <w:keepNext/>
      <w:widowControl/>
      <w:spacing w:before="240" w:after="60"/>
      <w:jc w:val="left"/>
      <w:outlineLvl w:val="1"/>
    </w:pPr>
    <w:rPr>
      <w:rFonts w:ascii="Cambria" w:hAnsi="Cambria" w:eastAsia="宋体"/>
      <w:b/>
      <w:bCs/>
      <w:i/>
      <w:iCs/>
      <w:sz w:val="28"/>
      <w:szCs w:val="28"/>
    </w:rPr>
  </w:style>
  <w:style w:type="paragraph" w:styleId="4">
    <w:name w:val="heading 3"/>
    <w:basedOn w:val="1"/>
    <w:next w:val="1"/>
    <w:link w:val="21"/>
    <w:qFormat/>
    <w:uiPriority w:val="0"/>
    <w:pPr>
      <w:keepNext/>
      <w:widowControl/>
      <w:spacing w:before="240" w:after="60"/>
      <w:jc w:val="left"/>
      <w:outlineLvl w:val="2"/>
    </w:pPr>
    <w:rPr>
      <w:rFonts w:ascii="Cambria" w:hAnsi="Cambria" w:eastAsia="宋体"/>
      <w:b/>
      <w:bCs/>
      <w:sz w:val="26"/>
      <w:szCs w:val="26"/>
    </w:rPr>
  </w:style>
  <w:style w:type="paragraph" w:styleId="5">
    <w:name w:val="heading 4"/>
    <w:basedOn w:val="1"/>
    <w:next w:val="1"/>
    <w:link w:val="22"/>
    <w:uiPriority w:val="0"/>
    <w:pPr>
      <w:keepNext/>
      <w:widowControl/>
      <w:spacing w:before="240" w:after="60"/>
      <w:jc w:val="left"/>
      <w:outlineLvl w:val="3"/>
    </w:pPr>
    <w:rPr>
      <w:b/>
      <w:bCs/>
      <w:sz w:val="28"/>
      <w:szCs w:val="28"/>
    </w:rPr>
  </w:style>
  <w:style w:type="paragraph" w:styleId="6">
    <w:name w:val="heading 5"/>
    <w:basedOn w:val="1"/>
    <w:next w:val="1"/>
    <w:link w:val="23"/>
    <w:qFormat/>
    <w:uiPriority w:val="0"/>
    <w:pPr>
      <w:widowControl/>
      <w:spacing w:before="240" w:after="60"/>
      <w:jc w:val="left"/>
      <w:outlineLvl w:val="4"/>
    </w:pPr>
    <w:rPr>
      <w:b/>
      <w:bCs/>
      <w:i/>
      <w:iCs/>
      <w:sz w:val="26"/>
      <w:szCs w:val="26"/>
    </w:rPr>
  </w:style>
  <w:style w:type="paragraph" w:styleId="7">
    <w:name w:val="heading 6"/>
    <w:basedOn w:val="1"/>
    <w:next w:val="1"/>
    <w:link w:val="24"/>
    <w:qFormat/>
    <w:uiPriority w:val="0"/>
    <w:pPr>
      <w:widowControl/>
      <w:spacing w:before="240" w:after="60"/>
      <w:jc w:val="left"/>
      <w:outlineLvl w:val="5"/>
    </w:pPr>
    <w:rPr>
      <w:b/>
      <w:bCs/>
    </w:rPr>
  </w:style>
  <w:style w:type="paragraph" w:styleId="8">
    <w:name w:val="heading 7"/>
    <w:basedOn w:val="1"/>
    <w:next w:val="1"/>
    <w:link w:val="25"/>
    <w:qFormat/>
    <w:uiPriority w:val="0"/>
    <w:pPr>
      <w:widowControl/>
      <w:spacing w:before="240" w:after="60"/>
      <w:jc w:val="left"/>
      <w:outlineLvl w:val="6"/>
    </w:pPr>
    <w:rPr>
      <w:sz w:val="24"/>
      <w:szCs w:val="24"/>
    </w:rPr>
  </w:style>
  <w:style w:type="paragraph" w:styleId="9">
    <w:name w:val="heading 8"/>
    <w:basedOn w:val="1"/>
    <w:next w:val="1"/>
    <w:link w:val="26"/>
    <w:qFormat/>
    <w:uiPriority w:val="0"/>
    <w:pPr>
      <w:widowControl/>
      <w:spacing w:before="240" w:after="60"/>
      <w:jc w:val="left"/>
      <w:outlineLvl w:val="7"/>
    </w:pPr>
    <w:rPr>
      <w:i/>
      <w:iCs/>
      <w:sz w:val="24"/>
      <w:szCs w:val="24"/>
    </w:rPr>
  </w:style>
  <w:style w:type="paragraph" w:styleId="10">
    <w:name w:val="heading 9"/>
    <w:basedOn w:val="1"/>
    <w:next w:val="1"/>
    <w:link w:val="27"/>
    <w:qFormat/>
    <w:uiPriority w:val="0"/>
    <w:pPr>
      <w:widowControl/>
      <w:spacing w:before="240" w:after="60"/>
      <w:jc w:val="left"/>
      <w:outlineLvl w:val="8"/>
    </w:pPr>
    <w:rPr>
      <w:rFonts w:ascii="Cambria" w:hAnsi="Cambria" w:eastAsia="宋体"/>
    </w:rPr>
  </w:style>
  <w:style w:type="character" w:default="1" w:styleId="16">
    <w:name w:val="Default Paragraph Font"/>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11">
    <w:name w:val="footer"/>
    <w:basedOn w:val="1"/>
    <w:link w:val="28"/>
    <w:qFormat/>
    <w:uiPriority w:val="0"/>
    <w:pPr>
      <w:tabs>
        <w:tab w:val="center" w:pos="4153"/>
        <w:tab w:val="right" w:pos="8306"/>
      </w:tabs>
      <w:snapToGrid w:val="0"/>
      <w:jc w:val="left"/>
    </w:pPr>
    <w:rPr>
      <w:rFonts w:ascii="Calibri" w:hAnsi="Calibri" w:eastAsia="宋体"/>
      <w:kern w:val="2"/>
      <w:sz w:val="18"/>
      <w:szCs w:val="18"/>
    </w:rPr>
  </w:style>
  <w:style w:type="paragraph" w:styleId="12">
    <w:name w:val="header"/>
    <w:basedOn w:val="1"/>
    <w:link w:val="29"/>
    <w:qFormat/>
    <w:uiPriority w:val="0"/>
    <w:pPr>
      <w:pBdr>
        <w:bottom w:val="single" w:color="auto" w:sz="6" w:space="1"/>
      </w:pBdr>
      <w:tabs>
        <w:tab w:val="center" w:pos="4153"/>
        <w:tab w:val="right" w:pos="8306"/>
      </w:tabs>
      <w:snapToGrid w:val="0"/>
      <w:jc w:val="center"/>
    </w:pPr>
    <w:rPr>
      <w:rFonts w:ascii="Calibri" w:hAnsi="Calibri" w:eastAsia="宋体"/>
      <w:kern w:val="2"/>
      <w:sz w:val="18"/>
      <w:szCs w:val="18"/>
    </w:rPr>
  </w:style>
  <w:style w:type="paragraph" w:styleId="13">
    <w:name w:val="Subtitle"/>
    <w:basedOn w:val="1"/>
    <w:next w:val="1"/>
    <w:link w:val="30"/>
    <w:qFormat/>
    <w:uiPriority w:val="0"/>
    <w:pPr>
      <w:widowControl/>
      <w:spacing w:after="60"/>
      <w:jc w:val="center"/>
      <w:outlineLvl w:val="1"/>
    </w:pPr>
    <w:rPr>
      <w:rFonts w:ascii="Cambria" w:hAnsi="Cambria" w:eastAsia="宋体"/>
      <w:sz w:val="24"/>
      <w:szCs w:val="24"/>
    </w:rPr>
  </w:style>
  <w:style w:type="paragraph" w:styleId="14">
    <w:name w:val="Title"/>
    <w:basedOn w:val="1"/>
    <w:next w:val="1"/>
    <w:link w:val="31"/>
    <w:qFormat/>
    <w:uiPriority w:val="0"/>
    <w:pPr>
      <w:widowControl/>
      <w:spacing w:before="240" w:after="60"/>
      <w:jc w:val="center"/>
      <w:outlineLvl w:val="0"/>
    </w:pPr>
    <w:rPr>
      <w:rFonts w:ascii="Cambria" w:hAnsi="Cambria" w:eastAsia="宋体"/>
      <w:b/>
      <w:bCs/>
      <w:kern w:val="28"/>
      <w:sz w:val="32"/>
      <w:szCs w:val="32"/>
    </w:rPr>
  </w:style>
  <w:style w:type="character" w:styleId="17">
    <w:name w:val="Strong"/>
    <w:basedOn w:val="16"/>
    <w:qFormat/>
    <w:uiPriority w:val="0"/>
    <w:rPr>
      <w:b/>
      <w:bCs/>
    </w:rPr>
  </w:style>
  <w:style w:type="character" w:styleId="18">
    <w:name w:val="Emphasis"/>
    <w:basedOn w:val="16"/>
    <w:qFormat/>
    <w:uiPriority w:val="0"/>
    <w:rPr>
      <w:rFonts w:ascii="Calibri" w:hAnsi="Calibri"/>
      <w:b/>
      <w:i/>
      <w:iCs/>
    </w:rPr>
  </w:style>
  <w:style w:type="character" w:customStyle="1" w:styleId="19">
    <w:name w:val="标题 1 Char"/>
    <w:basedOn w:val="16"/>
    <w:link w:val="2"/>
    <w:semiHidden/>
    <w:qFormat/>
    <w:uiPriority w:val="0"/>
    <w:rPr>
      <w:rFonts w:ascii="Cambria" w:hAnsi="Cambria" w:eastAsia="宋体"/>
      <w:b/>
      <w:bCs/>
      <w:kern w:val="32"/>
      <w:sz w:val="32"/>
      <w:szCs w:val="32"/>
    </w:rPr>
  </w:style>
  <w:style w:type="character" w:customStyle="1" w:styleId="20">
    <w:name w:val="标题 2 Char"/>
    <w:basedOn w:val="16"/>
    <w:link w:val="3"/>
    <w:semiHidden/>
    <w:qFormat/>
    <w:uiPriority w:val="0"/>
    <w:rPr>
      <w:rFonts w:ascii="Cambria" w:hAnsi="Cambria" w:eastAsia="宋体"/>
      <w:b/>
      <w:bCs/>
      <w:i/>
      <w:iCs/>
      <w:sz w:val="28"/>
      <w:szCs w:val="28"/>
    </w:rPr>
  </w:style>
  <w:style w:type="character" w:customStyle="1" w:styleId="21">
    <w:name w:val="标题 3 Char"/>
    <w:basedOn w:val="16"/>
    <w:link w:val="4"/>
    <w:semiHidden/>
    <w:qFormat/>
    <w:uiPriority w:val="0"/>
    <w:rPr>
      <w:rFonts w:ascii="Cambria" w:hAnsi="Cambria" w:eastAsia="宋体"/>
      <w:b/>
      <w:bCs/>
      <w:sz w:val="26"/>
      <w:szCs w:val="26"/>
    </w:rPr>
  </w:style>
  <w:style w:type="character" w:customStyle="1" w:styleId="22">
    <w:name w:val="标题 4 Char"/>
    <w:basedOn w:val="16"/>
    <w:link w:val="5"/>
    <w:semiHidden/>
    <w:qFormat/>
    <w:uiPriority w:val="0"/>
    <w:rPr>
      <w:b/>
      <w:bCs/>
      <w:sz w:val="28"/>
      <w:szCs w:val="28"/>
    </w:rPr>
  </w:style>
  <w:style w:type="character" w:customStyle="1" w:styleId="23">
    <w:name w:val="标题 5 Char"/>
    <w:basedOn w:val="16"/>
    <w:link w:val="6"/>
    <w:semiHidden/>
    <w:qFormat/>
    <w:uiPriority w:val="0"/>
    <w:rPr>
      <w:b/>
      <w:bCs/>
      <w:i/>
      <w:iCs/>
      <w:sz w:val="26"/>
      <w:szCs w:val="26"/>
    </w:rPr>
  </w:style>
  <w:style w:type="character" w:customStyle="1" w:styleId="24">
    <w:name w:val="标题 6 Char"/>
    <w:basedOn w:val="16"/>
    <w:link w:val="7"/>
    <w:semiHidden/>
    <w:qFormat/>
    <w:uiPriority w:val="0"/>
    <w:rPr>
      <w:b/>
      <w:bCs/>
    </w:rPr>
  </w:style>
  <w:style w:type="character" w:customStyle="1" w:styleId="25">
    <w:name w:val="标题 7 Char"/>
    <w:basedOn w:val="16"/>
    <w:link w:val="8"/>
    <w:semiHidden/>
    <w:qFormat/>
    <w:uiPriority w:val="0"/>
    <w:rPr>
      <w:sz w:val="24"/>
      <w:szCs w:val="24"/>
    </w:rPr>
  </w:style>
  <w:style w:type="character" w:customStyle="1" w:styleId="26">
    <w:name w:val="标题 8 Char"/>
    <w:basedOn w:val="16"/>
    <w:link w:val="9"/>
    <w:semiHidden/>
    <w:uiPriority w:val="0"/>
    <w:rPr>
      <w:i/>
      <w:iCs/>
      <w:sz w:val="24"/>
      <w:szCs w:val="24"/>
    </w:rPr>
  </w:style>
  <w:style w:type="character" w:customStyle="1" w:styleId="27">
    <w:name w:val="标题 9 Char"/>
    <w:basedOn w:val="16"/>
    <w:link w:val="10"/>
    <w:semiHidden/>
    <w:uiPriority w:val="0"/>
    <w:rPr>
      <w:rFonts w:ascii="Cambria" w:hAnsi="Cambria" w:eastAsia="宋体"/>
    </w:rPr>
  </w:style>
  <w:style w:type="character" w:customStyle="1" w:styleId="28">
    <w:name w:val="页脚 Char"/>
    <w:basedOn w:val="16"/>
    <w:link w:val="11"/>
    <w:semiHidden/>
    <w:qFormat/>
    <w:uiPriority w:val="0"/>
    <w:rPr>
      <w:rFonts w:ascii="Calibri" w:hAnsi="Calibri" w:eastAsia="宋体"/>
      <w:kern w:val="2"/>
      <w:sz w:val="18"/>
      <w:szCs w:val="18"/>
    </w:rPr>
  </w:style>
  <w:style w:type="character" w:customStyle="1" w:styleId="29">
    <w:name w:val="页眉 Char"/>
    <w:basedOn w:val="16"/>
    <w:link w:val="12"/>
    <w:semiHidden/>
    <w:qFormat/>
    <w:uiPriority w:val="0"/>
    <w:rPr>
      <w:rFonts w:ascii="Calibri" w:hAnsi="Calibri" w:eastAsia="宋体"/>
      <w:kern w:val="2"/>
      <w:sz w:val="18"/>
      <w:szCs w:val="18"/>
    </w:rPr>
  </w:style>
  <w:style w:type="character" w:customStyle="1" w:styleId="30">
    <w:name w:val="副标题 Char"/>
    <w:basedOn w:val="16"/>
    <w:link w:val="13"/>
    <w:semiHidden/>
    <w:qFormat/>
    <w:uiPriority w:val="0"/>
    <w:rPr>
      <w:rFonts w:ascii="Cambria" w:hAnsi="Cambria" w:eastAsia="宋体"/>
      <w:sz w:val="24"/>
      <w:szCs w:val="24"/>
    </w:rPr>
  </w:style>
  <w:style w:type="character" w:customStyle="1" w:styleId="31">
    <w:name w:val="标题 Char"/>
    <w:basedOn w:val="16"/>
    <w:link w:val="14"/>
    <w:semiHidden/>
    <w:qFormat/>
    <w:uiPriority w:val="0"/>
    <w:rPr>
      <w:rFonts w:ascii="Cambria" w:hAnsi="Cambria" w:eastAsia="宋体"/>
      <w:b/>
      <w:bCs/>
      <w:kern w:val="28"/>
      <w:sz w:val="32"/>
      <w:szCs w:val="32"/>
    </w:rPr>
  </w:style>
  <w:style w:type="paragraph" w:customStyle="1" w:styleId="32">
    <w:name w:val="批注框文本 Char Char"/>
    <w:basedOn w:val="1"/>
    <w:link w:val="39"/>
    <w:uiPriority w:val="0"/>
    <w:rPr>
      <w:rFonts w:ascii="Times New Roman" w:hAnsi="Times New Roman" w:eastAsia="宋体"/>
      <w:kern w:val="2"/>
      <w:sz w:val="18"/>
      <w:szCs w:val="18"/>
    </w:rPr>
  </w:style>
  <w:style w:type="paragraph" w:customStyle="1" w:styleId="33">
    <w:name w:val="Normal (Web)"/>
    <w:basedOn w:val="1"/>
    <w:qFormat/>
    <w:uiPriority w:val="0"/>
    <w:pPr>
      <w:spacing w:before="0" w:beforeAutospacing="1" w:after="0" w:afterAutospacing="1"/>
      <w:ind w:left="0" w:right="0"/>
      <w:jc w:val="left"/>
    </w:pPr>
    <w:rPr>
      <w:kern w:val="0"/>
      <w:sz w:val="24"/>
      <w:lang w:val="en-US" w:eastAsia="zh-CN"/>
    </w:rPr>
  </w:style>
  <w:style w:type="paragraph" w:customStyle="1" w:styleId="34">
    <w:name w:val="No Spacing"/>
    <w:basedOn w:val="1"/>
    <w:qFormat/>
    <w:uiPriority w:val="0"/>
    <w:pPr>
      <w:widowControl/>
      <w:jc w:val="left"/>
    </w:pPr>
    <w:rPr>
      <w:rFonts w:ascii="Calibri" w:hAnsi="Calibri" w:eastAsia="宋体" w:cs="Times New Roman"/>
      <w:kern w:val="0"/>
      <w:sz w:val="24"/>
      <w:szCs w:val="32"/>
      <w:lang w:val="en-US" w:eastAsia="en-US" w:bidi="en-US"/>
    </w:rPr>
  </w:style>
  <w:style w:type="paragraph" w:customStyle="1" w:styleId="35">
    <w:name w:val="List Paragraph"/>
    <w:basedOn w:val="1"/>
    <w:qFormat/>
    <w:uiPriority w:val="0"/>
    <w:pPr>
      <w:widowControl/>
      <w:ind w:left="720"/>
      <w:contextualSpacing/>
      <w:jc w:val="left"/>
    </w:pPr>
    <w:rPr>
      <w:rFonts w:ascii="Calibri" w:hAnsi="Calibri" w:eastAsia="宋体"/>
      <w:kern w:val="0"/>
      <w:sz w:val="24"/>
      <w:lang w:eastAsia="en-US" w:bidi="en-US"/>
    </w:rPr>
  </w:style>
  <w:style w:type="paragraph" w:customStyle="1" w:styleId="36">
    <w:name w:val="Quote"/>
    <w:basedOn w:val="1"/>
    <w:next w:val="1"/>
    <w:link w:val="40"/>
    <w:qFormat/>
    <w:uiPriority w:val="0"/>
    <w:pPr>
      <w:widowControl/>
      <w:jc w:val="left"/>
    </w:pPr>
    <w:rPr>
      <w:i/>
      <w:sz w:val="24"/>
      <w:szCs w:val="24"/>
    </w:rPr>
  </w:style>
  <w:style w:type="paragraph" w:customStyle="1" w:styleId="37">
    <w:name w:val="Intense Quote"/>
    <w:basedOn w:val="1"/>
    <w:next w:val="1"/>
    <w:link w:val="41"/>
    <w:qFormat/>
    <w:uiPriority w:val="0"/>
    <w:pPr>
      <w:widowControl/>
      <w:ind w:left="720" w:right="720"/>
      <w:jc w:val="left"/>
    </w:pPr>
    <w:rPr>
      <w:b/>
      <w:i/>
      <w:sz w:val="24"/>
    </w:rPr>
  </w:style>
  <w:style w:type="paragraph" w:customStyle="1" w:styleId="38">
    <w:name w:val="TOC Heading"/>
    <w:basedOn w:val="2"/>
    <w:next w:val="1"/>
    <w:qFormat/>
    <w:uiPriority w:val="0"/>
    <w:pPr>
      <w:outlineLvl w:val="9"/>
    </w:pPr>
    <w:rPr>
      <w:lang w:eastAsia="en-US" w:bidi="en-US"/>
    </w:rPr>
  </w:style>
  <w:style w:type="character" w:customStyle="1" w:styleId="39">
    <w:name w:val="批注框文本 Char Char Char Char"/>
    <w:basedOn w:val="16"/>
    <w:link w:val="32"/>
    <w:semiHidden/>
    <w:qFormat/>
    <w:uiPriority w:val="0"/>
    <w:rPr>
      <w:rFonts w:ascii="Times New Roman" w:hAnsi="Times New Roman" w:eastAsia="宋体"/>
      <w:kern w:val="2"/>
      <w:sz w:val="18"/>
      <w:szCs w:val="18"/>
    </w:rPr>
  </w:style>
  <w:style w:type="character" w:customStyle="1" w:styleId="40">
    <w:name w:val="引用 Char"/>
    <w:basedOn w:val="16"/>
    <w:link w:val="36"/>
    <w:semiHidden/>
    <w:qFormat/>
    <w:uiPriority w:val="0"/>
    <w:rPr>
      <w:i/>
      <w:sz w:val="24"/>
      <w:szCs w:val="24"/>
    </w:rPr>
  </w:style>
  <w:style w:type="character" w:customStyle="1" w:styleId="41">
    <w:name w:val="明显引用 Char"/>
    <w:basedOn w:val="16"/>
    <w:link w:val="37"/>
    <w:semiHidden/>
    <w:uiPriority w:val="0"/>
    <w:rPr>
      <w:b/>
      <w:i/>
      <w:sz w:val="24"/>
    </w:rPr>
  </w:style>
  <w:style w:type="character" w:customStyle="1" w:styleId="42">
    <w:name w:val="Subtle Emphasis"/>
    <w:qFormat/>
    <w:uiPriority w:val="0"/>
    <w:rPr>
      <w:i/>
      <w:color w:val="565656"/>
    </w:rPr>
  </w:style>
  <w:style w:type="character" w:customStyle="1" w:styleId="43">
    <w:name w:val="Intense Emphasis"/>
    <w:basedOn w:val="16"/>
    <w:qFormat/>
    <w:uiPriority w:val="0"/>
    <w:rPr>
      <w:b/>
      <w:i/>
      <w:sz w:val="24"/>
      <w:szCs w:val="24"/>
      <w:u w:val="single"/>
    </w:rPr>
  </w:style>
  <w:style w:type="character" w:customStyle="1" w:styleId="44">
    <w:name w:val="Subtle Reference"/>
    <w:basedOn w:val="16"/>
    <w:qFormat/>
    <w:uiPriority w:val="0"/>
    <w:rPr>
      <w:sz w:val="24"/>
      <w:szCs w:val="24"/>
      <w:u w:val="single"/>
    </w:rPr>
  </w:style>
  <w:style w:type="character" w:customStyle="1" w:styleId="45">
    <w:name w:val="Intense Reference"/>
    <w:basedOn w:val="16"/>
    <w:qFormat/>
    <w:uiPriority w:val="0"/>
    <w:rPr>
      <w:b/>
      <w:sz w:val="24"/>
      <w:u w:val="single"/>
    </w:rPr>
  </w:style>
  <w:style w:type="character" w:customStyle="1" w:styleId="46">
    <w:name w:val="Book Title"/>
    <w:basedOn w:val="16"/>
    <w:qFormat/>
    <w:uiPriority w:val="0"/>
    <w:rPr>
      <w:rFonts w:ascii="Cambria" w:hAnsi="Cambria" w:eastAsia="宋体"/>
      <w:b/>
      <w: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2018-08-16T02:06:00Z</dcterms:created>
  <dc:creator>赵 恺（预算处）</dc:creator>
  <cp:lastModifiedBy>海怪小仙</cp:lastModifiedBy>
  <cp:lastPrinted>2019-01-15T13:13:00Z</cp:lastPrinted>
  <dcterms:modified xsi:type="dcterms:W3CDTF">2023-07-25T02:35:51Z</dcterms:modified>
  <dc:title>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34DB40E824C9467AB913FECEFE8E3C17_12</vt:lpwstr>
  </property>
</Properties>
</file>